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6D37" w14:textId="6B295248" w:rsidR="004C10CA" w:rsidRPr="004C6D2B" w:rsidRDefault="004C10CA" w:rsidP="004832D8">
      <w:pPr>
        <w:autoSpaceDE w:val="0"/>
        <w:autoSpaceDN w:val="0"/>
        <w:adjustRightInd w:val="0"/>
        <w:jc w:val="center"/>
        <w:rPr>
          <w:rFonts w:ascii="Arial" w:hAnsi="Arial" w:cs="Arial"/>
          <w:b/>
          <w:bCs/>
          <w:sz w:val="24"/>
          <w:szCs w:val="24"/>
        </w:rPr>
      </w:pPr>
      <w:r w:rsidRPr="004C6D2B">
        <w:rPr>
          <w:rFonts w:ascii="Arial" w:hAnsi="Arial" w:cs="Arial"/>
          <w:b/>
          <w:bCs/>
          <w:sz w:val="24"/>
          <w:szCs w:val="24"/>
        </w:rPr>
        <w:t>Notice</w:t>
      </w:r>
    </w:p>
    <w:p w14:paraId="62CDD947" w14:textId="77777777" w:rsidR="004C10CA" w:rsidRPr="004C6D2B" w:rsidRDefault="004C10CA" w:rsidP="004C10CA">
      <w:pPr>
        <w:autoSpaceDE w:val="0"/>
        <w:autoSpaceDN w:val="0"/>
        <w:adjustRightInd w:val="0"/>
        <w:jc w:val="center"/>
        <w:rPr>
          <w:rFonts w:ascii="Arial" w:hAnsi="Arial" w:cs="Arial"/>
          <w:b/>
          <w:bCs/>
          <w:sz w:val="24"/>
          <w:szCs w:val="24"/>
          <w:u w:val="single"/>
        </w:rPr>
      </w:pPr>
    </w:p>
    <w:p w14:paraId="02E2BE7B" w14:textId="51FF3DA5" w:rsidR="001947C0" w:rsidRPr="004C6D2B" w:rsidRDefault="001947C0" w:rsidP="001947C0">
      <w:pPr>
        <w:jc w:val="center"/>
        <w:rPr>
          <w:rFonts w:ascii="Arial" w:hAnsi="Arial" w:cs="Arial"/>
          <w:b/>
          <w:bCs/>
          <w:sz w:val="24"/>
          <w:szCs w:val="24"/>
          <w:u w:val="single"/>
        </w:rPr>
      </w:pPr>
      <w:r w:rsidRPr="004C6D2B">
        <w:rPr>
          <w:rFonts w:ascii="Arial" w:hAnsi="Arial" w:cs="Arial"/>
          <w:b/>
          <w:bCs/>
          <w:sz w:val="24"/>
          <w:szCs w:val="24"/>
          <w:u w:val="single"/>
        </w:rPr>
        <w:t xml:space="preserve">VARIATION </w:t>
      </w:r>
      <w:r w:rsidR="00114933" w:rsidRPr="004C6D2B">
        <w:rPr>
          <w:rFonts w:ascii="Arial" w:hAnsi="Arial" w:cs="Arial"/>
          <w:b/>
          <w:bCs/>
          <w:sz w:val="24"/>
          <w:szCs w:val="24"/>
          <w:u w:val="single"/>
        </w:rPr>
        <w:t xml:space="preserve">OF THE </w:t>
      </w:r>
      <w:r w:rsidR="00114933" w:rsidRPr="004C6D2B">
        <w:rPr>
          <w:rFonts w:ascii="Arial" w:hAnsi="Arial" w:cs="Arial"/>
          <w:b/>
          <w:bCs/>
          <w:i/>
          <w:iCs/>
          <w:sz w:val="24"/>
          <w:szCs w:val="24"/>
          <w:u w:val="single"/>
        </w:rPr>
        <w:t>COMMERCIAL TRAVELLERS AND SALES REPRESENTATIVES' AWARD 1978</w:t>
      </w:r>
      <w:r w:rsidR="00114933" w:rsidRPr="004C6D2B">
        <w:rPr>
          <w:rFonts w:ascii="Arial" w:hAnsi="Arial" w:cs="Arial"/>
          <w:b/>
          <w:bCs/>
          <w:sz w:val="24"/>
          <w:szCs w:val="24"/>
          <w:u w:val="single"/>
        </w:rPr>
        <w:t xml:space="preserve"> PURSUANT TO S 40B OF </w:t>
      </w:r>
      <w:r w:rsidR="00114933" w:rsidRPr="004C6D2B">
        <w:rPr>
          <w:rFonts w:ascii="Arial" w:hAnsi="Arial" w:cs="Arial"/>
          <w:b/>
          <w:bCs/>
          <w:i/>
          <w:iCs/>
          <w:sz w:val="24"/>
          <w:szCs w:val="24"/>
          <w:u w:val="single"/>
        </w:rPr>
        <w:t>THE INDUSTRIAL RELATIONS ACT 1979</w:t>
      </w:r>
      <w:r w:rsidR="00114933" w:rsidRPr="004C6D2B">
        <w:rPr>
          <w:rFonts w:ascii="Arial" w:hAnsi="Arial" w:cs="Arial"/>
          <w:b/>
          <w:bCs/>
          <w:sz w:val="24"/>
          <w:szCs w:val="24"/>
          <w:u w:val="single"/>
        </w:rPr>
        <w:t xml:space="preserve"> (WA)</w:t>
      </w:r>
    </w:p>
    <w:p w14:paraId="4FB225FC" w14:textId="77777777" w:rsidR="001947C0" w:rsidRPr="004C6D2B" w:rsidRDefault="001947C0" w:rsidP="001947C0">
      <w:pPr>
        <w:jc w:val="both"/>
        <w:rPr>
          <w:rFonts w:ascii="Arial" w:hAnsi="Arial" w:cs="Arial"/>
          <w:sz w:val="24"/>
          <w:szCs w:val="24"/>
        </w:rPr>
      </w:pPr>
    </w:p>
    <w:p w14:paraId="00682253" w14:textId="40491094" w:rsidR="001947C0" w:rsidRPr="004C6D2B" w:rsidRDefault="001947C0" w:rsidP="001947C0">
      <w:pPr>
        <w:jc w:val="both"/>
        <w:rPr>
          <w:rFonts w:ascii="Arial" w:hAnsi="Arial" w:cs="Arial"/>
          <w:sz w:val="24"/>
          <w:szCs w:val="24"/>
        </w:rPr>
      </w:pPr>
      <w:r w:rsidRPr="004C6D2B">
        <w:rPr>
          <w:rFonts w:ascii="Arial" w:hAnsi="Arial" w:cs="Arial"/>
          <w:sz w:val="24"/>
          <w:szCs w:val="24"/>
        </w:rPr>
        <w:t>Notice is given of an application on the motion of the Western Australian Industrial Relations Commission to vary the</w:t>
      </w:r>
      <w:r w:rsidRPr="004C6D2B">
        <w:rPr>
          <w:rFonts w:ascii="Arial" w:hAnsi="Arial" w:cs="Arial"/>
          <w:i/>
          <w:iCs/>
          <w:sz w:val="24"/>
          <w:szCs w:val="24"/>
        </w:rPr>
        <w:t xml:space="preserve"> </w:t>
      </w:r>
      <w:r w:rsidR="00114933" w:rsidRPr="004C6D2B">
        <w:rPr>
          <w:rFonts w:ascii="Arial" w:hAnsi="Arial" w:cs="Arial"/>
          <w:i/>
          <w:iCs/>
          <w:sz w:val="24"/>
          <w:szCs w:val="24"/>
        </w:rPr>
        <w:t xml:space="preserve">Commercial Travellers and Sales Representatives' Award 1978 </w:t>
      </w:r>
      <w:r w:rsidRPr="004C6D2B">
        <w:rPr>
          <w:rFonts w:ascii="Arial" w:hAnsi="Arial" w:cs="Arial"/>
          <w:sz w:val="24"/>
          <w:szCs w:val="24"/>
        </w:rPr>
        <w:t>with a view to:</w:t>
      </w:r>
    </w:p>
    <w:p w14:paraId="35F9723D" w14:textId="77777777" w:rsidR="001947C0" w:rsidRPr="004C6D2B" w:rsidRDefault="001947C0" w:rsidP="001947C0">
      <w:pPr>
        <w:numPr>
          <w:ilvl w:val="0"/>
          <w:numId w:val="3"/>
        </w:numPr>
        <w:ind w:left="567" w:hanging="567"/>
        <w:jc w:val="both"/>
        <w:rPr>
          <w:rFonts w:ascii="Arial" w:hAnsi="Arial" w:cs="Arial"/>
          <w:sz w:val="24"/>
          <w:szCs w:val="24"/>
        </w:rPr>
      </w:pPr>
      <w:r w:rsidRPr="004C6D2B">
        <w:rPr>
          <w:rFonts w:ascii="Arial" w:hAnsi="Arial" w:cs="Arial"/>
          <w:sz w:val="24"/>
          <w:szCs w:val="24"/>
        </w:rPr>
        <w:t xml:space="preserve">ensuring the Award does not contain wages that are less than the minimum award wage as ordered by the Commission under s 50A of the </w:t>
      </w:r>
      <w:r w:rsidRPr="004C6D2B">
        <w:rPr>
          <w:rFonts w:ascii="Arial" w:hAnsi="Arial" w:cs="Arial"/>
          <w:i/>
          <w:sz w:val="24"/>
          <w:szCs w:val="24"/>
        </w:rPr>
        <w:t>Industrial Relations Act 1979</w:t>
      </w:r>
      <w:r w:rsidRPr="004C6D2B">
        <w:rPr>
          <w:rFonts w:ascii="Arial" w:hAnsi="Arial" w:cs="Arial"/>
          <w:sz w:val="24"/>
          <w:szCs w:val="24"/>
        </w:rPr>
        <w:t xml:space="preserve"> (WA) (</w:t>
      </w:r>
      <w:r w:rsidRPr="004C6D2B">
        <w:rPr>
          <w:rFonts w:ascii="Arial" w:hAnsi="Arial" w:cs="Arial"/>
          <w:b/>
          <w:sz w:val="24"/>
          <w:szCs w:val="24"/>
        </w:rPr>
        <w:t>IR Act</w:t>
      </w:r>
      <w:proofErr w:type="gramStart"/>
      <w:r w:rsidRPr="004C6D2B">
        <w:rPr>
          <w:rFonts w:ascii="Arial" w:hAnsi="Arial" w:cs="Arial"/>
          <w:sz w:val="24"/>
          <w:szCs w:val="24"/>
        </w:rPr>
        <w:t>);</w:t>
      </w:r>
      <w:proofErr w:type="gramEnd"/>
    </w:p>
    <w:p w14:paraId="3DA06ED2" w14:textId="77777777" w:rsidR="001947C0" w:rsidRPr="004C6D2B" w:rsidRDefault="001947C0" w:rsidP="001947C0">
      <w:pPr>
        <w:numPr>
          <w:ilvl w:val="0"/>
          <w:numId w:val="3"/>
        </w:numPr>
        <w:ind w:left="567" w:hanging="567"/>
        <w:jc w:val="both"/>
        <w:rPr>
          <w:rFonts w:ascii="Arial" w:hAnsi="Arial" w:cs="Arial"/>
          <w:sz w:val="24"/>
          <w:szCs w:val="24"/>
        </w:rPr>
      </w:pPr>
      <w:r w:rsidRPr="004C6D2B">
        <w:rPr>
          <w:rFonts w:ascii="Arial" w:hAnsi="Arial" w:cs="Arial"/>
          <w:sz w:val="24"/>
          <w:szCs w:val="24"/>
        </w:rPr>
        <w:t xml:space="preserve">ensuring the Award does not contain conditions of employment that are less favourable than those provided by the </w:t>
      </w:r>
      <w:r w:rsidRPr="004C6D2B">
        <w:rPr>
          <w:rFonts w:ascii="Arial" w:hAnsi="Arial" w:cs="Arial"/>
          <w:i/>
          <w:sz w:val="24"/>
          <w:szCs w:val="24"/>
        </w:rPr>
        <w:t>Minimum Conditions of Employment Act 1993</w:t>
      </w:r>
      <w:r w:rsidRPr="004C6D2B">
        <w:rPr>
          <w:rFonts w:ascii="Arial" w:hAnsi="Arial" w:cs="Arial"/>
          <w:sz w:val="24"/>
          <w:szCs w:val="24"/>
        </w:rPr>
        <w:t xml:space="preserve"> (WA) (</w:t>
      </w:r>
      <w:r w:rsidRPr="004C6D2B">
        <w:rPr>
          <w:rFonts w:ascii="Arial" w:hAnsi="Arial" w:cs="Arial"/>
          <w:b/>
          <w:sz w:val="24"/>
          <w:szCs w:val="24"/>
        </w:rPr>
        <w:t>MCE Act</w:t>
      </w:r>
      <w:proofErr w:type="gramStart"/>
      <w:r w:rsidRPr="004C6D2B">
        <w:rPr>
          <w:rFonts w:ascii="Arial" w:hAnsi="Arial" w:cs="Arial"/>
          <w:sz w:val="24"/>
          <w:szCs w:val="24"/>
        </w:rPr>
        <w:t>);</w:t>
      </w:r>
      <w:proofErr w:type="gramEnd"/>
    </w:p>
    <w:p w14:paraId="4EC83C4A" w14:textId="77777777" w:rsidR="001947C0" w:rsidRPr="004C6D2B" w:rsidRDefault="001947C0" w:rsidP="001947C0">
      <w:pPr>
        <w:numPr>
          <w:ilvl w:val="0"/>
          <w:numId w:val="3"/>
        </w:numPr>
        <w:ind w:left="567" w:hanging="567"/>
        <w:jc w:val="both"/>
        <w:rPr>
          <w:rFonts w:ascii="Arial" w:hAnsi="Arial" w:cs="Arial"/>
          <w:sz w:val="24"/>
          <w:szCs w:val="24"/>
        </w:rPr>
      </w:pPr>
      <w:r w:rsidRPr="004C6D2B">
        <w:rPr>
          <w:rFonts w:ascii="Arial" w:hAnsi="Arial" w:cs="Arial"/>
          <w:sz w:val="24"/>
          <w:szCs w:val="24"/>
        </w:rPr>
        <w:t>ensuring the Award does not contain provisions that are obsolete or need updating; and</w:t>
      </w:r>
    </w:p>
    <w:p w14:paraId="72BDC017" w14:textId="77777777" w:rsidR="001947C0" w:rsidRPr="004C6D2B" w:rsidRDefault="001947C0" w:rsidP="001947C0">
      <w:pPr>
        <w:numPr>
          <w:ilvl w:val="0"/>
          <w:numId w:val="3"/>
        </w:numPr>
        <w:ind w:left="567" w:hanging="567"/>
        <w:jc w:val="both"/>
        <w:rPr>
          <w:rFonts w:ascii="Arial" w:hAnsi="Arial" w:cs="Arial"/>
          <w:sz w:val="24"/>
          <w:szCs w:val="24"/>
        </w:rPr>
      </w:pPr>
      <w:r w:rsidRPr="004C6D2B">
        <w:rPr>
          <w:rFonts w:ascii="Arial" w:hAnsi="Arial" w:cs="Arial"/>
          <w:sz w:val="24"/>
          <w:szCs w:val="24"/>
        </w:rPr>
        <w:t>ensuring the Award is consistent with the facilitation of the efficient organisation and performance of work according to the needs of the industry and enterprises within it, balanced with fairness to the employees in the industry and enterprises.</w:t>
      </w:r>
    </w:p>
    <w:p w14:paraId="747F310E" w14:textId="77777777" w:rsidR="001947C0" w:rsidRPr="004C6D2B" w:rsidRDefault="001947C0" w:rsidP="001947C0">
      <w:pPr>
        <w:jc w:val="both"/>
        <w:rPr>
          <w:rFonts w:ascii="Arial" w:hAnsi="Arial" w:cs="Arial"/>
          <w:sz w:val="24"/>
          <w:szCs w:val="24"/>
        </w:rPr>
      </w:pPr>
    </w:p>
    <w:p w14:paraId="4E89EC48" w14:textId="77777777" w:rsidR="001947C0" w:rsidRPr="004C6D2B" w:rsidRDefault="001947C0" w:rsidP="001947C0">
      <w:pPr>
        <w:jc w:val="both"/>
        <w:rPr>
          <w:rFonts w:ascii="Arial" w:hAnsi="Arial" w:cs="Arial"/>
          <w:sz w:val="24"/>
          <w:szCs w:val="24"/>
        </w:rPr>
      </w:pPr>
      <w:bookmarkStart w:id="0" w:name="_Hlk187132447"/>
      <w:r w:rsidRPr="004C6D2B">
        <w:rPr>
          <w:rFonts w:ascii="Arial" w:hAnsi="Arial" w:cs="Arial"/>
          <w:sz w:val="24"/>
          <w:szCs w:val="24"/>
        </w:rPr>
        <w:t>The following clauses of the Award are affected by the proposed variations:</w:t>
      </w:r>
    </w:p>
    <w:p w14:paraId="1C3A6C49" w14:textId="7C5686AA" w:rsidR="001947C0" w:rsidRPr="004C6D2B" w:rsidRDefault="001947C0" w:rsidP="001947C0">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1 “Title” to </w:t>
      </w:r>
      <w:r w:rsidR="00FB4C42">
        <w:rPr>
          <w:rFonts w:ascii="Arial" w:hAnsi="Arial" w:cs="Arial"/>
          <w:sz w:val="24"/>
          <w:szCs w:val="24"/>
        </w:rPr>
        <w:t>contemporise the award’s title</w:t>
      </w:r>
      <w:r w:rsidRPr="004C6D2B">
        <w:rPr>
          <w:rFonts w:ascii="Arial" w:hAnsi="Arial" w:cs="Arial"/>
          <w:sz w:val="24"/>
          <w:szCs w:val="24"/>
        </w:rPr>
        <w:t xml:space="preserve">. </w:t>
      </w:r>
    </w:p>
    <w:p w14:paraId="0858F61A" w14:textId="49990733" w:rsidR="001947C0" w:rsidRPr="004C6D2B" w:rsidRDefault="001947C0" w:rsidP="001947C0">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2 “Arrangement” to </w:t>
      </w:r>
      <w:r w:rsidR="00FB4C42">
        <w:rPr>
          <w:rFonts w:ascii="Arial" w:hAnsi="Arial" w:cs="Arial"/>
          <w:sz w:val="24"/>
          <w:szCs w:val="24"/>
        </w:rPr>
        <w:t>arrange the clauses into parts and insert appropriate part</w:t>
      </w:r>
      <w:r w:rsidRPr="004C6D2B">
        <w:rPr>
          <w:rFonts w:ascii="Arial" w:hAnsi="Arial" w:cs="Arial"/>
          <w:sz w:val="24"/>
          <w:szCs w:val="24"/>
        </w:rPr>
        <w:t xml:space="preserve"> headings. </w:t>
      </w:r>
    </w:p>
    <w:p w14:paraId="57E60528" w14:textId="781E3735" w:rsidR="001947C0" w:rsidRPr="004C6D2B" w:rsidRDefault="001947C0" w:rsidP="001947C0">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5 </w:t>
      </w:r>
      <w:r w:rsidR="00B23044" w:rsidRPr="004C6D2B">
        <w:rPr>
          <w:rFonts w:ascii="Arial" w:hAnsi="Arial" w:cs="Arial"/>
          <w:sz w:val="24"/>
          <w:szCs w:val="24"/>
        </w:rPr>
        <w:t xml:space="preserve">“Term” </w:t>
      </w:r>
      <w:r w:rsidRPr="004C6D2B">
        <w:rPr>
          <w:rFonts w:ascii="Arial" w:hAnsi="Arial" w:cs="Arial"/>
          <w:sz w:val="24"/>
          <w:szCs w:val="24"/>
        </w:rPr>
        <w:t>which is redundant.</w:t>
      </w:r>
    </w:p>
    <w:p w14:paraId="57FD92CC" w14:textId="526B45F9" w:rsidR="005D42CF" w:rsidRPr="004C6D2B" w:rsidRDefault="005D42CF" w:rsidP="001947C0">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7 “Wages” to substitute the wages for probationary representatives which are below the statutory minimum wage with the statutory minimum wage. </w:t>
      </w:r>
    </w:p>
    <w:p w14:paraId="7C4B8C72" w14:textId="00326FD0" w:rsidR="00FF67D7" w:rsidRPr="004C6D2B" w:rsidRDefault="00FF67D7" w:rsidP="001947C0">
      <w:pPr>
        <w:numPr>
          <w:ilvl w:val="0"/>
          <w:numId w:val="4"/>
        </w:numPr>
        <w:ind w:left="567" w:hanging="567"/>
        <w:jc w:val="both"/>
        <w:rPr>
          <w:rFonts w:ascii="Arial" w:hAnsi="Arial" w:cs="Arial"/>
          <w:sz w:val="24"/>
          <w:szCs w:val="24"/>
        </w:rPr>
      </w:pPr>
      <w:r w:rsidRPr="004C6D2B">
        <w:rPr>
          <w:rFonts w:ascii="Arial" w:hAnsi="Arial" w:cs="Arial"/>
          <w:sz w:val="24"/>
          <w:szCs w:val="24"/>
        </w:rPr>
        <w:t>Clause 11 “Payment of Wages” to remove reference to payment of wages by cheque.</w:t>
      </w:r>
    </w:p>
    <w:p w14:paraId="037C7FE4" w14:textId="0D4D3921" w:rsidR="00FC24C7" w:rsidRPr="004C6D2B" w:rsidRDefault="00BF4DBF" w:rsidP="001947C0">
      <w:pPr>
        <w:numPr>
          <w:ilvl w:val="0"/>
          <w:numId w:val="4"/>
        </w:numPr>
        <w:ind w:left="567" w:hanging="567"/>
        <w:jc w:val="both"/>
        <w:rPr>
          <w:rFonts w:ascii="Arial" w:hAnsi="Arial" w:cs="Arial"/>
          <w:sz w:val="24"/>
          <w:szCs w:val="24"/>
        </w:rPr>
      </w:pPr>
      <w:r w:rsidRPr="004C6D2B">
        <w:rPr>
          <w:rFonts w:ascii="Arial" w:hAnsi="Arial" w:cs="Arial"/>
          <w:sz w:val="24"/>
          <w:szCs w:val="24"/>
        </w:rPr>
        <w:t>Clause 12 “Records” to align with the record keeping requirements of Division 2F of Part 2 of the IR Act.</w:t>
      </w:r>
    </w:p>
    <w:p w14:paraId="631397C7" w14:textId="10912AB9" w:rsidR="00BF4DBF" w:rsidRPr="004C6D2B" w:rsidRDefault="00BF4DBF" w:rsidP="00FF67D7">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13 “Contract of Employment and Termination” </w:t>
      </w:r>
      <w:r w:rsidR="00FB4C42">
        <w:rPr>
          <w:rFonts w:ascii="Arial" w:hAnsi="Arial" w:cs="Arial"/>
          <w:sz w:val="24"/>
          <w:szCs w:val="24"/>
        </w:rPr>
        <w:t>to</w:t>
      </w:r>
      <w:r w:rsidR="009136D4" w:rsidRPr="004C6D2B">
        <w:rPr>
          <w:rFonts w:ascii="Arial" w:hAnsi="Arial" w:cs="Arial"/>
          <w:sz w:val="24"/>
          <w:szCs w:val="24"/>
        </w:rPr>
        <w:t xml:space="preserve"> </w:t>
      </w:r>
      <w:r w:rsidRPr="004C6D2B">
        <w:rPr>
          <w:rFonts w:ascii="Arial" w:hAnsi="Arial" w:cs="Arial"/>
          <w:sz w:val="24"/>
          <w:szCs w:val="24"/>
        </w:rPr>
        <w:t>align</w:t>
      </w:r>
      <w:r w:rsidR="00FF67D7" w:rsidRPr="004C6D2B">
        <w:rPr>
          <w:rFonts w:ascii="Arial" w:hAnsi="Arial" w:cs="Arial"/>
          <w:sz w:val="24"/>
          <w:szCs w:val="24"/>
        </w:rPr>
        <w:t xml:space="preserve"> the termination provisions</w:t>
      </w:r>
      <w:r w:rsidRPr="004C6D2B">
        <w:rPr>
          <w:rFonts w:ascii="Arial" w:hAnsi="Arial" w:cs="Arial"/>
          <w:sz w:val="24"/>
          <w:szCs w:val="24"/>
        </w:rPr>
        <w:t xml:space="preserve"> with Division 3 of Part 6-3 of the National Employment Statements of the </w:t>
      </w:r>
      <w:r w:rsidRPr="004C6D2B">
        <w:rPr>
          <w:rFonts w:ascii="Arial" w:hAnsi="Arial" w:cs="Arial"/>
          <w:i/>
          <w:iCs/>
          <w:sz w:val="24"/>
          <w:szCs w:val="24"/>
        </w:rPr>
        <w:t>Fair Work Act 2009</w:t>
      </w:r>
      <w:r w:rsidRPr="004C6D2B">
        <w:rPr>
          <w:rFonts w:ascii="Arial" w:hAnsi="Arial" w:cs="Arial"/>
          <w:sz w:val="24"/>
          <w:szCs w:val="24"/>
        </w:rPr>
        <w:t xml:space="preserve"> (</w:t>
      </w:r>
      <w:proofErr w:type="spellStart"/>
      <w:r w:rsidRPr="004C6D2B">
        <w:rPr>
          <w:rFonts w:ascii="Arial" w:hAnsi="Arial" w:cs="Arial"/>
          <w:sz w:val="24"/>
          <w:szCs w:val="24"/>
        </w:rPr>
        <w:t>Cth</w:t>
      </w:r>
      <w:proofErr w:type="spellEnd"/>
      <w:r w:rsidR="009136D4" w:rsidRPr="004C6D2B">
        <w:rPr>
          <w:rFonts w:ascii="Arial" w:hAnsi="Arial" w:cs="Arial"/>
          <w:sz w:val="24"/>
          <w:szCs w:val="24"/>
        </w:rPr>
        <w:t>).</w:t>
      </w:r>
    </w:p>
    <w:p w14:paraId="0F665422" w14:textId="07B898D1" w:rsidR="009136D4" w:rsidRPr="004C6D2B" w:rsidRDefault="009136D4" w:rsidP="001947C0">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14 “Holidays” to </w:t>
      </w:r>
      <w:r w:rsidR="00FB4C42">
        <w:rPr>
          <w:rFonts w:ascii="Arial" w:hAnsi="Arial" w:cs="Arial"/>
          <w:sz w:val="24"/>
          <w:szCs w:val="24"/>
        </w:rPr>
        <w:t xml:space="preserve">rename the clause “Public Holidays” and </w:t>
      </w:r>
      <w:r w:rsidRPr="004C6D2B">
        <w:rPr>
          <w:rFonts w:ascii="Arial" w:hAnsi="Arial" w:cs="Arial"/>
          <w:sz w:val="24"/>
          <w:szCs w:val="24"/>
        </w:rPr>
        <w:t xml:space="preserve">align with the </w:t>
      </w:r>
      <w:r w:rsidRPr="004C6D2B">
        <w:rPr>
          <w:rFonts w:ascii="Arial" w:hAnsi="Arial" w:cs="Arial"/>
          <w:i/>
          <w:iCs/>
          <w:sz w:val="24"/>
          <w:szCs w:val="24"/>
        </w:rPr>
        <w:t>Public and Bank Holidays Act 1972</w:t>
      </w:r>
      <w:r w:rsidRPr="004C6D2B">
        <w:rPr>
          <w:rFonts w:ascii="Arial" w:hAnsi="Arial" w:cs="Arial"/>
          <w:sz w:val="24"/>
          <w:szCs w:val="24"/>
        </w:rPr>
        <w:t xml:space="preserve"> (WA) as amended.</w:t>
      </w:r>
    </w:p>
    <w:p w14:paraId="23DA1D38" w14:textId="57C43629" w:rsidR="009136D4" w:rsidRPr="004C6D2B" w:rsidRDefault="009136D4" w:rsidP="001947C0">
      <w:pPr>
        <w:numPr>
          <w:ilvl w:val="0"/>
          <w:numId w:val="4"/>
        </w:numPr>
        <w:ind w:left="567" w:hanging="567"/>
        <w:jc w:val="both"/>
        <w:rPr>
          <w:rFonts w:ascii="Arial" w:hAnsi="Arial" w:cs="Arial"/>
          <w:sz w:val="24"/>
          <w:szCs w:val="24"/>
        </w:rPr>
      </w:pPr>
      <w:r w:rsidRPr="004C6D2B">
        <w:rPr>
          <w:rFonts w:ascii="Arial" w:hAnsi="Arial" w:cs="Arial"/>
          <w:sz w:val="24"/>
          <w:szCs w:val="24"/>
        </w:rPr>
        <w:t>Clause 15 “Annual Leave” to ensure conditions are not less favourable than the MCE Act.</w:t>
      </w:r>
    </w:p>
    <w:p w14:paraId="52C0BDAF" w14:textId="1B6E018F" w:rsidR="009136D4" w:rsidRPr="004C6D2B" w:rsidRDefault="009136D4" w:rsidP="001947C0">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16 “Absence Through Sickness” to ensure conditions are not less favourable than the MCE Act conditions for personal leave. </w:t>
      </w:r>
    </w:p>
    <w:p w14:paraId="4B92C784" w14:textId="4F5C02F3" w:rsidR="009136D4" w:rsidRPr="004C6D2B" w:rsidRDefault="009136D4" w:rsidP="009136D4">
      <w:pPr>
        <w:numPr>
          <w:ilvl w:val="0"/>
          <w:numId w:val="4"/>
        </w:numPr>
        <w:ind w:left="567" w:hanging="567"/>
        <w:jc w:val="both"/>
        <w:rPr>
          <w:rFonts w:ascii="Arial" w:hAnsi="Arial" w:cs="Arial"/>
          <w:sz w:val="24"/>
          <w:szCs w:val="24"/>
        </w:rPr>
      </w:pPr>
      <w:r w:rsidRPr="004C6D2B">
        <w:rPr>
          <w:rFonts w:ascii="Arial" w:hAnsi="Arial" w:cs="Arial"/>
          <w:sz w:val="24"/>
          <w:szCs w:val="24"/>
        </w:rPr>
        <w:t>Clause 17 “Bereavement Leave” to ensure conditions are not less favourable than the MCE Act.</w:t>
      </w:r>
    </w:p>
    <w:p w14:paraId="09D19387" w14:textId="5C4F23E9" w:rsidR="009136D4" w:rsidRPr="004C6D2B" w:rsidRDefault="00B23044" w:rsidP="009136D4">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18 “Long Service Leave” </w:t>
      </w:r>
      <w:r w:rsidR="00FB4C42">
        <w:rPr>
          <w:rFonts w:ascii="Arial" w:hAnsi="Arial" w:cs="Arial"/>
          <w:sz w:val="24"/>
          <w:szCs w:val="24"/>
        </w:rPr>
        <w:t xml:space="preserve">to refer to the </w:t>
      </w:r>
      <w:r w:rsidR="00FB4C42" w:rsidRPr="00FB4C42">
        <w:rPr>
          <w:rFonts w:ascii="Arial" w:hAnsi="Arial" w:cs="Arial"/>
          <w:i/>
          <w:iCs/>
          <w:sz w:val="24"/>
          <w:szCs w:val="24"/>
        </w:rPr>
        <w:t>Long Service Leave Act 1958</w:t>
      </w:r>
      <w:r w:rsidR="00FB4C42">
        <w:rPr>
          <w:rFonts w:ascii="Arial" w:hAnsi="Arial" w:cs="Arial"/>
          <w:i/>
          <w:iCs/>
          <w:sz w:val="24"/>
          <w:szCs w:val="24"/>
        </w:rPr>
        <w:t xml:space="preserve"> (WA)</w:t>
      </w:r>
      <w:r w:rsidR="00FB4C42">
        <w:rPr>
          <w:rFonts w:ascii="Arial" w:hAnsi="Arial" w:cs="Arial"/>
          <w:sz w:val="24"/>
          <w:szCs w:val="24"/>
        </w:rPr>
        <w:t>.</w:t>
      </w:r>
      <w:r w:rsidRPr="004C6D2B">
        <w:rPr>
          <w:rFonts w:ascii="Arial" w:hAnsi="Arial" w:cs="Arial"/>
          <w:sz w:val="24"/>
          <w:szCs w:val="24"/>
        </w:rPr>
        <w:t xml:space="preserve"> </w:t>
      </w:r>
    </w:p>
    <w:p w14:paraId="0213D24B" w14:textId="1B677F80" w:rsidR="00FF67D7" w:rsidRPr="004C6D2B" w:rsidRDefault="00FF67D7" w:rsidP="009136D4">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19 “Air Conditioning” to update the clause generally. </w:t>
      </w:r>
    </w:p>
    <w:p w14:paraId="20BF93DA" w14:textId="3BA34827" w:rsidR="00B23044" w:rsidRPr="004C6D2B" w:rsidRDefault="00611DAE" w:rsidP="009136D4">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20 “Aged and Infirm Workers” to align with the Supported Wage System in the national industrial relations system. </w:t>
      </w:r>
    </w:p>
    <w:p w14:paraId="40833976" w14:textId="6CAB5BD8" w:rsidR="00611DAE" w:rsidRPr="004C6D2B" w:rsidRDefault="00611DAE" w:rsidP="009136D4">
      <w:pPr>
        <w:numPr>
          <w:ilvl w:val="0"/>
          <w:numId w:val="4"/>
        </w:numPr>
        <w:ind w:left="567" w:hanging="567"/>
        <w:jc w:val="both"/>
        <w:rPr>
          <w:rFonts w:ascii="Arial" w:hAnsi="Arial" w:cs="Arial"/>
          <w:sz w:val="24"/>
          <w:szCs w:val="24"/>
        </w:rPr>
      </w:pPr>
      <w:r w:rsidRPr="004C6D2B">
        <w:rPr>
          <w:rFonts w:ascii="Arial" w:hAnsi="Arial" w:cs="Arial"/>
          <w:sz w:val="24"/>
          <w:szCs w:val="24"/>
        </w:rPr>
        <w:lastRenderedPageBreak/>
        <w:t>Clause 21 “Union Notices and Posting of Award” to en</w:t>
      </w:r>
      <w:r w:rsidR="00FF67D7" w:rsidRPr="004C6D2B">
        <w:rPr>
          <w:rFonts w:ascii="Arial" w:hAnsi="Arial" w:cs="Arial"/>
          <w:sz w:val="24"/>
          <w:szCs w:val="24"/>
        </w:rPr>
        <w:t>able</w:t>
      </w:r>
      <w:r w:rsidRPr="004C6D2B">
        <w:rPr>
          <w:rFonts w:ascii="Arial" w:hAnsi="Arial" w:cs="Arial"/>
          <w:sz w:val="24"/>
          <w:szCs w:val="24"/>
        </w:rPr>
        <w:t xml:space="preserve"> a copy of the Award </w:t>
      </w:r>
      <w:r w:rsidR="00FF67D7" w:rsidRPr="004C6D2B">
        <w:rPr>
          <w:rFonts w:ascii="Arial" w:hAnsi="Arial" w:cs="Arial"/>
          <w:sz w:val="24"/>
          <w:szCs w:val="24"/>
        </w:rPr>
        <w:t xml:space="preserve">to be made available electronically. </w:t>
      </w:r>
      <w:r w:rsidRPr="004C6D2B">
        <w:rPr>
          <w:rFonts w:ascii="Arial" w:hAnsi="Arial" w:cs="Arial"/>
          <w:sz w:val="24"/>
          <w:szCs w:val="24"/>
        </w:rPr>
        <w:t xml:space="preserve"> </w:t>
      </w:r>
    </w:p>
    <w:p w14:paraId="0AB09164" w14:textId="555DDA40" w:rsidR="00611DAE" w:rsidRPr="004C6D2B" w:rsidRDefault="00FF67D7" w:rsidP="009136D4">
      <w:pPr>
        <w:numPr>
          <w:ilvl w:val="0"/>
          <w:numId w:val="4"/>
        </w:numPr>
        <w:ind w:left="567" w:hanging="567"/>
        <w:jc w:val="both"/>
        <w:rPr>
          <w:rFonts w:ascii="Arial" w:hAnsi="Arial" w:cs="Arial"/>
          <w:sz w:val="24"/>
          <w:szCs w:val="24"/>
        </w:rPr>
      </w:pPr>
      <w:r w:rsidRPr="004C6D2B">
        <w:rPr>
          <w:rFonts w:ascii="Arial" w:hAnsi="Arial" w:cs="Arial"/>
          <w:sz w:val="24"/>
          <w:szCs w:val="24"/>
        </w:rPr>
        <w:t>Clause 23 “Occupational Superannuation” to ensure conditions comply with s</w:t>
      </w:r>
      <w:r w:rsidR="005D42CF" w:rsidRPr="004C6D2B">
        <w:rPr>
          <w:rFonts w:ascii="Arial" w:hAnsi="Arial" w:cs="Arial"/>
          <w:sz w:val="24"/>
          <w:szCs w:val="24"/>
        </w:rPr>
        <w:t> </w:t>
      </w:r>
      <w:r w:rsidRPr="004C6D2B">
        <w:rPr>
          <w:rFonts w:ascii="Arial" w:hAnsi="Arial" w:cs="Arial"/>
          <w:sz w:val="24"/>
          <w:szCs w:val="24"/>
        </w:rPr>
        <w:t xml:space="preserve">48B of the IR Act. </w:t>
      </w:r>
    </w:p>
    <w:p w14:paraId="414CD1F0" w14:textId="22AC4ED5" w:rsidR="00FF67D7" w:rsidRPr="004C6D2B" w:rsidRDefault="005D42CF" w:rsidP="009136D4">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24 “Enterprise Agreements” </w:t>
      </w:r>
      <w:r w:rsidR="00FB4C42">
        <w:rPr>
          <w:rFonts w:ascii="Arial" w:hAnsi="Arial" w:cs="Arial"/>
          <w:sz w:val="24"/>
          <w:szCs w:val="24"/>
        </w:rPr>
        <w:t>which is</w:t>
      </w:r>
      <w:r w:rsidRPr="004C6D2B">
        <w:rPr>
          <w:rFonts w:ascii="Arial" w:hAnsi="Arial" w:cs="Arial"/>
          <w:sz w:val="24"/>
          <w:szCs w:val="24"/>
        </w:rPr>
        <w:t xml:space="preserve"> obsolete.</w:t>
      </w:r>
    </w:p>
    <w:p w14:paraId="6BC31C57" w14:textId="38B40B2E" w:rsidR="005D42CF" w:rsidRPr="004C6D2B" w:rsidRDefault="00FE7A9A" w:rsidP="009136D4">
      <w:pPr>
        <w:numPr>
          <w:ilvl w:val="0"/>
          <w:numId w:val="4"/>
        </w:numPr>
        <w:ind w:left="567" w:hanging="567"/>
        <w:jc w:val="both"/>
        <w:rPr>
          <w:rFonts w:ascii="Arial" w:hAnsi="Arial" w:cs="Arial"/>
          <w:sz w:val="24"/>
          <w:szCs w:val="24"/>
        </w:rPr>
      </w:pPr>
      <w:r w:rsidRPr="004C6D2B">
        <w:rPr>
          <w:rFonts w:ascii="Arial" w:hAnsi="Arial" w:cs="Arial"/>
          <w:sz w:val="24"/>
          <w:szCs w:val="24"/>
        </w:rPr>
        <w:t xml:space="preserve">Clause 26 “Redundancy” to ensure the clause is not less favourable than the Termination, Change and Redundance General Order. </w:t>
      </w:r>
    </w:p>
    <w:p w14:paraId="6B717260" w14:textId="77777777" w:rsidR="00FE7A9A" w:rsidRPr="004C6D2B" w:rsidRDefault="00FE7A9A" w:rsidP="009136D4">
      <w:pPr>
        <w:numPr>
          <w:ilvl w:val="0"/>
          <w:numId w:val="4"/>
        </w:numPr>
        <w:ind w:left="567" w:hanging="567"/>
        <w:jc w:val="both"/>
        <w:rPr>
          <w:rFonts w:ascii="Arial" w:hAnsi="Arial" w:cs="Arial"/>
          <w:sz w:val="24"/>
          <w:szCs w:val="24"/>
        </w:rPr>
      </w:pPr>
      <w:r w:rsidRPr="004C6D2B">
        <w:rPr>
          <w:rFonts w:ascii="Arial" w:hAnsi="Arial" w:cs="Arial"/>
          <w:sz w:val="24"/>
          <w:szCs w:val="24"/>
        </w:rPr>
        <w:t xml:space="preserve">“Appendix – Resolution of Disputes Requirements” to remove subclause (1) as obsolete and to update the clause generally. </w:t>
      </w:r>
    </w:p>
    <w:p w14:paraId="43C94300" w14:textId="743B5ABE" w:rsidR="00FE7A9A" w:rsidRPr="004C6D2B" w:rsidRDefault="00FE7A9A" w:rsidP="00FE7A9A">
      <w:pPr>
        <w:numPr>
          <w:ilvl w:val="0"/>
          <w:numId w:val="4"/>
        </w:numPr>
        <w:ind w:left="567" w:hanging="567"/>
        <w:jc w:val="both"/>
        <w:rPr>
          <w:rFonts w:ascii="Arial" w:hAnsi="Arial" w:cs="Arial"/>
          <w:sz w:val="24"/>
          <w:szCs w:val="24"/>
        </w:rPr>
      </w:pPr>
      <w:r w:rsidRPr="004C6D2B">
        <w:rPr>
          <w:rFonts w:ascii="Arial" w:hAnsi="Arial" w:cs="Arial"/>
          <w:sz w:val="24"/>
          <w:szCs w:val="24"/>
        </w:rPr>
        <w:t xml:space="preserve">All definitions, terms and clauses for consistent, non-discriminatory terminology and </w:t>
      </w:r>
      <w:proofErr w:type="gramStart"/>
      <w:r w:rsidRPr="004C6D2B">
        <w:rPr>
          <w:rFonts w:ascii="Arial" w:hAnsi="Arial" w:cs="Arial"/>
          <w:sz w:val="24"/>
          <w:szCs w:val="24"/>
        </w:rPr>
        <w:t>gender neutral</w:t>
      </w:r>
      <w:proofErr w:type="gramEnd"/>
      <w:r w:rsidRPr="004C6D2B">
        <w:rPr>
          <w:rFonts w:ascii="Arial" w:hAnsi="Arial" w:cs="Arial"/>
          <w:sz w:val="24"/>
          <w:szCs w:val="24"/>
        </w:rPr>
        <w:t xml:space="preserve"> language.</w:t>
      </w:r>
    </w:p>
    <w:p w14:paraId="08EABDEB" w14:textId="5945234C" w:rsidR="00FE7A9A" w:rsidRPr="004C6D2B" w:rsidRDefault="00FE7A9A" w:rsidP="00FE7A9A">
      <w:pPr>
        <w:numPr>
          <w:ilvl w:val="0"/>
          <w:numId w:val="4"/>
        </w:numPr>
        <w:ind w:left="567" w:hanging="567"/>
        <w:jc w:val="both"/>
        <w:rPr>
          <w:rFonts w:ascii="Arial" w:hAnsi="Arial" w:cs="Arial"/>
          <w:sz w:val="24"/>
          <w:szCs w:val="24"/>
        </w:rPr>
      </w:pPr>
      <w:r w:rsidRPr="004C6D2B">
        <w:rPr>
          <w:rFonts w:ascii="Arial" w:hAnsi="Arial" w:cs="Arial"/>
          <w:sz w:val="24"/>
          <w:szCs w:val="24"/>
        </w:rPr>
        <w:t>To include provision</w:t>
      </w:r>
      <w:r w:rsidR="007B278A">
        <w:rPr>
          <w:rFonts w:ascii="Arial" w:hAnsi="Arial" w:cs="Arial"/>
          <w:sz w:val="24"/>
          <w:szCs w:val="24"/>
        </w:rPr>
        <w:t xml:space="preserve"> for</w:t>
      </w:r>
      <w:r w:rsidRPr="004C6D2B">
        <w:rPr>
          <w:rFonts w:ascii="Arial" w:hAnsi="Arial" w:cs="Arial"/>
          <w:sz w:val="24"/>
          <w:szCs w:val="24"/>
        </w:rPr>
        <w:t xml:space="preserve"> domestic and family violence leave</w:t>
      </w:r>
      <w:r w:rsidR="007B278A">
        <w:rPr>
          <w:rFonts w:ascii="Arial" w:hAnsi="Arial" w:cs="Arial"/>
          <w:sz w:val="24"/>
          <w:szCs w:val="24"/>
        </w:rPr>
        <w:t xml:space="preserve"> and parental leave</w:t>
      </w:r>
      <w:r w:rsidRPr="004C6D2B">
        <w:rPr>
          <w:rFonts w:ascii="Arial" w:hAnsi="Arial" w:cs="Arial"/>
          <w:sz w:val="24"/>
          <w:szCs w:val="24"/>
        </w:rPr>
        <w:t>.</w:t>
      </w:r>
    </w:p>
    <w:p w14:paraId="45AA9B98" w14:textId="77777777" w:rsidR="00FE7A9A" w:rsidRPr="004C6D2B" w:rsidRDefault="00FE7A9A" w:rsidP="00FE7A9A">
      <w:pPr>
        <w:numPr>
          <w:ilvl w:val="0"/>
          <w:numId w:val="4"/>
        </w:numPr>
        <w:ind w:left="567" w:hanging="567"/>
        <w:jc w:val="both"/>
        <w:rPr>
          <w:rFonts w:ascii="Arial" w:hAnsi="Arial" w:cs="Arial"/>
          <w:sz w:val="24"/>
          <w:szCs w:val="24"/>
        </w:rPr>
      </w:pPr>
      <w:r w:rsidRPr="004C6D2B">
        <w:rPr>
          <w:rFonts w:ascii="Arial" w:hAnsi="Arial" w:cs="Arial"/>
          <w:sz w:val="24"/>
          <w:szCs w:val="24"/>
        </w:rPr>
        <w:t>To remove and update references to repealed and amended legislation.</w:t>
      </w:r>
    </w:p>
    <w:p w14:paraId="3340F385" w14:textId="4DE94A7C" w:rsidR="00FE7A9A" w:rsidRDefault="00FE7A9A" w:rsidP="00FE7A9A">
      <w:pPr>
        <w:numPr>
          <w:ilvl w:val="0"/>
          <w:numId w:val="4"/>
        </w:numPr>
        <w:ind w:left="567" w:hanging="567"/>
        <w:jc w:val="both"/>
        <w:rPr>
          <w:rFonts w:ascii="Arial" w:hAnsi="Arial" w:cs="Arial"/>
          <w:sz w:val="24"/>
          <w:szCs w:val="24"/>
        </w:rPr>
      </w:pPr>
      <w:r w:rsidRPr="004C6D2B">
        <w:rPr>
          <w:rFonts w:ascii="Arial" w:hAnsi="Arial" w:cs="Arial"/>
          <w:sz w:val="24"/>
          <w:szCs w:val="24"/>
        </w:rPr>
        <w:t>To update various allowances that have not been updated since 2006 or earlier.</w:t>
      </w:r>
    </w:p>
    <w:p w14:paraId="4FB9FC2B" w14:textId="7E20D6A8" w:rsidR="007B278A" w:rsidRPr="004C6D2B" w:rsidRDefault="007B278A" w:rsidP="00FE7A9A">
      <w:pPr>
        <w:numPr>
          <w:ilvl w:val="0"/>
          <w:numId w:val="4"/>
        </w:numPr>
        <w:ind w:left="567" w:hanging="567"/>
        <w:jc w:val="both"/>
        <w:rPr>
          <w:rFonts w:ascii="Arial" w:hAnsi="Arial" w:cs="Arial"/>
          <w:sz w:val="24"/>
          <w:szCs w:val="24"/>
        </w:rPr>
      </w:pPr>
      <w:r>
        <w:rPr>
          <w:rFonts w:ascii="Arial" w:hAnsi="Arial" w:cs="Arial"/>
          <w:sz w:val="24"/>
          <w:szCs w:val="24"/>
        </w:rPr>
        <w:t>To remove gendered language.</w:t>
      </w:r>
    </w:p>
    <w:bookmarkEnd w:id="0"/>
    <w:p w14:paraId="7DAC8853" w14:textId="77777777" w:rsidR="00611DAE" w:rsidRPr="004C6D2B" w:rsidRDefault="00611DAE" w:rsidP="001947C0">
      <w:pPr>
        <w:jc w:val="both"/>
        <w:rPr>
          <w:rFonts w:ascii="Arial" w:hAnsi="Arial" w:cs="Arial"/>
          <w:sz w:val="24"/>
          <w:szCs w:val="24"/>
        </w:rPr>
      </w:pPr>
    </w:p>
    <w:p w14:paraId="4573D730" w14:textId="77777777" w:rsidR="001947C0" w:rsidRPr="004C6D2B" w:rsidRDefault="001947C0" w:rsidP="001947C0">
      <w:pPr>
        <w:keepNext/>
        <w:keepLines/>
        <w:jc w:val="both"/>
        <w:rPr>
          <w:rFonts w:ascii="Arial" w:hAnsi="Arial" w:cs="Arial"/>
          <w:sz w:val="24"/>
          <w:szCs w:val="24"/>
        </w:rPr>
      </w:pPr>
      <w:r w:rsidRPr="004C6D2B">
        <w:rPr>
          <w:rFonts w:ascii="Arial" w:hAnsi="Arial" w:cs="Arial"/>
          <w:sz w:val="24"/>
          <w:szCs w:val="24"/>
        </w:rPr>
        <w:t>A For Mention and Directions hearing has been listed before Senior Commissioner Cosentino for the purpose of ascertaining who might seek to be heard and what steps should be taken to ensure such parties may be heard in relation to the proposed variations. The hearing will take place:</w:t>
      </w:r>
    </w:p>
    <w:p w14:paraId="0813212F" w14:textId="77777777" w:rsidR="001947C0" w:rsidRPr="004C6D2B" w:rsidRDefault="001947C0" w:rsidP="001947C0">
      <w:pPr>
        <w:keepNext/>
        <w:keepLines/>
        <w:jc w:val="both"/>
        <w:rPr>
          <w:rFonts w:ascii="Arial" w:hAnsi="Arial" w:cs="Arial"/>
          <w:sz w:val="24"/>
          <w:szCs w:val="24"/>
        </w:rPr>
      </w:pPr>
    </w:p>
    <w:p w14:paraId="60ECCC42" w14:textId="7090E2FD" w:rsidR="001947C0" w:rsidRPr="00C73CFA" w:rsidRDefault="001947C0" w:rsidP="001947C0">
      <w:pPr>
        <w:ind w:left="720"/>
        <w:jc w:val="both"/>
        <w:rPr>
          <w:rFonts w:ascii="Arial" w:hAnsi="Arial" w:cs="Arial"/>
          <w:b/>
          <w:sz w:val="24"/>
          <w:szCs w:val="24"/>
        </w:rPr>
      </w:pPr>
      <w:r w:rsidRPr="004C6D2B">
        <w:rPr>
          <w:rFonts w:ascii="Arial" w:hAnsi="Arial" w:cs="Arial"/>
          <w:b/>
          <w:sz w:val="24"/>
          <w:szCs w:val="24"/>
        </w:rPr>
        <w:t>AT:</w:t>
      </w:r>
      <w:r w:rsidRPr="004C6D2B">
        <w:rPr>
          <w:rFonts w:ascii="Arial" w:hAnsi="Arial" w:cs="Arial"/>
          <w:b/>
          <w:sz w:val="24"/>
          <w:szCs w:val="24"/>
        </w:rPr>
        <w:tab/>
      </w:r>
      <w:r w:rsidRPr="004C6D2B">
        <w:rPr>
          <w:rFonts w:ascii="Arial" w:hAnsi="Arial" w:cs="Arial"/>
          <w:b/>
          <w:sz w:val="24"/>
          <w:szCs w:val="24"/>
        </w:rPr>
        <w:tab/>
      </w:r>
      <w:r w:rsidR="00A30308" w:rsidRPr="00C73CFA">
        <w:rPr>
          <w:rFonts w:ascii="Arial" w:hAnsi="Arial" w:cs="Arial"/>
          <w:b/>
          <w:sz w:val="24"/>
          <w:szCs w:val="24"/>
        </w:rPr>
        <w:t>1</w:t>
      </w:r>
      <w:r w:rsidR="007048C2" w:rsidRPr="00C73CFA">
        <w:rPr>
          <w:rFonts w:ascii="Arial" w:hAnsi="Arial" w:cs="Arial"/>
          <w:b/>
          <w:sz w:val="24"/>
          <w:szCs w:val="24"/>
        </w:rPr>
        <w:t>0</w:t>
      </w:r>
      <w:r w:rsidR="00CA1F23" w:rsidRPr="00C73CFA">
        <w:rPr>
          <w:rFonts w:ascii="Arial" w:hAnsi="Arial" w:cs="Arial"/>
          <w:b/>
          <w:sz w:val="24"/>
          <w:szCs w:val="24"/>
        </w:rPr>
        <w:t>:00</w:t>
      </w:r>
      <w:r w:rsidRPr="00C73CFA">
        <w:rPr>
          <w:rFonts w:ascii="Arial" w:hAnsi="Arial" w:cs="Arial"/>
          <w:b/>
          <w:sz w:val="24"/>
          <w:szCs w:val="24"/>
        </w:rPr>
        <w:t xml:space="preserve"> </w:t>
      </w:r>
      <w:r w:rsidR="007048C2" w:rsidRPr="00C73CFA">
        <w:rPr>
          <w:rFonts w:ascii="Arial" w:hAnsi="Arial" w:cs="Arial"/>
          <w:b/>
          <w:sz w:val="24"/>
          <w:szCs w:val="24"/>
        </w:rPr>
        <w:t>A</w:t>
      </w:r>
      <w:r w:rsidRPr="00C73CFA">
        <w:rPr>
          <w:rFonts w:ascii="Arial" w:hAnsi="Arial" w:cs="Arial"/>
          <w:b/>
          <w:sz w:val="24"/>
          <w:szCs w:val="24"/>
        </w:rPr>
        <w:t>M</w:t>
      </w:r>
    </w:p>
    <w:p w14:paraId="7764E50D" w14:textId="77777777" w:rsidR="001947C0" w:rsidRPr="00C73CFA" w:rsidRDefault="001947C0" w:rsidP="001947C0">
      <w:pPr>
        <w:ind w:left="720"/>
        <w:jc w:val="both"/>
        <w:rPr>
          <w:rFonts w:ascii="Arial" w:hAnsi="Arial" w:cs="Arial"/>
          <w:b/>
          <w:sz w:val="24"/>
          <w:szCs w:val="24"/>
        </w:rPr>
      </w:pPr>
    </w:p>
    <w:p w14:paraId="74B42532" w14:textId="1F7D4599" w:rsidR="001947C0" w:rsidRPr="00C73CFA" w:rsidRDefault="001947C0" w:rsidP="001947C0">
      <w:pPr>
        <w:ind w:left="720"/>
        <w:jc w:val="both"/>
        <w:rPr>
          <w:rFonts w:ascii="Arial" w:hAnsi="Arial" w:cs="Arial"/>
          <w:b/>
          <w:sz w:val="24"/>
          <w:szCs w:val="24"/>
        </w:rPr>
      </w:pPr>
      <w:r w:rsidRPr="00C73CFA">
        <w:rPr>
          <w:rFonts w:ascii="Arial" w:hAnsi="Arial" w:cs="Arial"/>
          <w:b/>
          <w:sz w:val="24"/>
          <w:szCs w:val="24"/>
        </w:rPr>
        <w:t>ON:</w:t>
      </w:r>
      <w:r w:rsidRPr="00C73CFA">
        <w:rPr>
          <w:rFonts w:ascii="Arial" w:hAnsi="Arial" w:cs="Arial"/>
          <w:b/>
          <w:sz w:val="24"/>
          <w:szCs w:val="24"/>
        </w:rPr>
        <w:tab/>
      </w:r>
      <w:r w:rsidRPr="00C73CFA">
        <w:rPr>
          <w:rFonts w:ascii="Arial" w:hAnsi="Arial" w:cs="Arial"/>
          <w:b/>
          <w:sz w:val="24"/>
          <w:szCs w:val="24"/>
        </w:rPr>
        <w:tab/>
      </w:r>
      <w:r w:rsidR="007048C2" w:rsidRPr="00C73CFA">
        <w:rPr>
          <w:rFonts w:ascii="Arial" w:hAnsi="Arial" w:cs="Arial"/>
          <w:b/>
          <w:sz w:val="24"/>
          <w:szCs w:val="24"/>
        </w:rPr>
        <w:t xml:space="preserve">Thursday, </w:t>
      </w:r>
      <w:r w:rsidR="00C73CFA" w:rsidRPr="00C73CFA">
        <w:rPr>
          <w:rFonts w:ascii="Arial" w:hAnsi="Arial" w:cs="Arial"/>
          <w:b/>
          <w:sz w:val="24"/>
          <w:szCs w:val="24"/>
        </w:rPr>
        <w:t>6 February</w:t>
      </w:r>
      <w:r w:rsidR="007048C2" w:rsidRPr="00C73CFA">
        <w:rPr>
          <w:rFonts w:ascii="Arial" w:hAnsi="Arial" w:cs="Arial"/>
          <w:b/>
          <w:sz w:val="24"/>
          <w:szCs w:val="24"/>
        </w:rPr>
        <w:t xml:space="preserve"> 2025</w:t>
      </w:r>
    </w:p>
    <w:p w14:paraId="3E03EA92" w14:textId="77777777" w:rsidR="001947C0" w:rsidRPr="00C73CFA" w:rsidRDefault="001947C0" w:rsidP="001947C0">
      <w:pPr>
        <w:ind w:left="720"/>
        <w:jc w:val="both"/>
        <w:rPr>
          <w:rFonts w:ascii="Arial" w:hAnsi="Arial" w:cs="Arial"/>
          <w:b/>
          <w:sz w:val="24"/>
          <w:szCs w:val="24"/>
        </w:rPr>
      </w:pPr>
    </w:p>
    <w:p w14:paraId="374AC32C" w14:textId="77777777" w:rsidR="001947C0" w:rsidRPr="00C73CFA" w:rsidRDefault="001947C0" w:rsidP="001947C0">
      <w:pPr>
        <w:ind w:left="720"/>
        <w:jc w:val="both"/>
        <w:rPr>
          <w:rFonts w:ascii="Arial" w:hAnsi="Arial" w:cs="Arial"/>
          <w:b/>
          <w:sz w:val="24"/>
          <w:szCs w:val="24"/>
        </w:rPr>
      </w:pPr>
      <w:r w:rsidRPr="00C73CFA">
        <w:rPr>
          <w:rFonts w:ascii="Arial" w:hAnsi="Arial" w:cs="Arial"/>
          <w:b/>
          <w:sz w:val="24"/>
          <w:szCs w:val="24"/>
        </w:rPr>
        <w:t>LOCATION:</w:t>
      </w:r>
      <w:r w:rsidRPr="00C73CFA">
        <w:rPr>
          <w:rFonts w:ascii="Arial" w:hAnsi="Arial" w:cs="Arial"/>
          <w:b/>
          <w:sz w:val="24"/>
          <w:szCs w:val="24"/>
        </w:rPr>
        <w:tab/>
        <w:t>Level 18, 111 St Georges Terrace, Perth</w:t>
      </w:r>
    </w:p>
    <w:p w14:paraId="4A2E4A8C" w14:textId="77777777" w:rsidR="001947C0" w:rsidRPr="00C73CFA" w:rsidRDefault="001947C0" w:rsidP="001947C0">
      <w:pPr>
        <w:ind w:left="720"/>
        <w:jc w:val="both"/>
        <w:rPr>
          <w:rFonts w:ascii="Arial" w:hAnsi="Arial" w:cs="Arial"/>
          <w:sz w:val="24"/>
          <w:szCs w:val="24"/>
        </w:rPr>
      </w:pPr>
    </w:p>
    <w:p w14:paraId="6CEEB559" w14:textId="182737B9" w:rsidR="001947C0" w:rsidRPr="004C6D2B" w:rsidRDefault="001947C0" w:rsidP="001947C0">
      <w:pPr>
        <w:keepNext/>
        <w:keepLines/>
        <w:jc w:val="both"/>
        <w:rPr>
          <w:rFonts w:ascii="Arial" w:hAnsi="Arial" w:cs="Arial"/>
          <w:sz w:val="24"/>
          <w:szCs w:val="24"/>
        </w:rPr>
      </w:pPr>
      <w:bookmarkStart w:id="1" w:name="_Hlk175573558"/>
      <w:r w:rsidRPr="00C73CFA">
        <w:rPr>
          <w:rFonts w:ascii="Arial" w:hAnsi="Arial" w:cs="Arial"/>
          <w:sz w:val="24"/>
          <w:szCs w:val="24"/>
        </w:rPr>
        <w:t xml:space="preserve">Any person wishing to appear at this hearing should provide notice to the Senior Commissioner’s Associate on (08) 9420 4455 or at </w:t>
      </w:r>
      <w:bookmarkStart w:id="2" w:name="_Hlk175573571"/>
      <w:r w:rsidRPr="00C73CFA">
        <w:rPr>
          <w:rFonts w:ascii="Arial" w:hAnsi="Arial" w:cs="Arial"/>
          <w:sz w:val="24"/>
          <w:szCs w:val="24"/>
        </w:rPr>
        <w:fldChar w:fldCharType="begin"/>
      </w:r>
      <w:r w:rsidRPr="00C73CFA">
        <w:rPr>
          <w:rFonts w:ascii="Arial" w:hAnsi="Arial" w:cs="Arial"/>
          <w:sz w:val="24"/>
          <w:szCs w:val="24"/>
        </w:rPr>
        <w:instrText>HYPERLINK "mailto:chambers-cosentino@wairc.wa.gov.au"</w:instrText>
      </w:r>
      <w:r w:rsidRPr="00C73CFA">
        <w:rPr>
          <w:rFonts w:ascii="Arial" w:hAnsi="Arial" w:cs="Arial"/>
          <w:sz w:val="24"/>
          <w:szCs w:val="24"/>
        </w:rPr>
      </w:r>
      <w:r w:rsidRPr="00C73CFA">
        <w:rPr>
          <w:rFonts w:ascii="Arial" w:hAnsi="Arial" w:cs="Arial"/>
          <w:sz w:val="24"/>
          <w:szCs w:val="24"/>
        </w:rPr>
        <w:fldChar w:fldCharType="separate"/>
      </w:r>
      <w:r w:rsidRPr="00C73CFA">
        <w:rPr>
          <w:rStyle w:val="Hyperlink"/>
          <w:rFonts w:ascii="Arial" w:hAnsi="Arial" w:cs="Arial"/>
          <w:sz w:val="24"/>
          <w:szCs w:val="24"/>
        </w:rPr>
        <w:t>chambers-cosentino@wairc.wa.gov.au</w:t>
      </w:r>
      <w:r w:rsidRPr="00C73CFA">
        <w:rPr>
          <w:rFonts w:ascii="Arial" w:hAnsi="Arial" w:cs="Arial"/>
          <w:sz w:val="24"/>
          <w:szCs w:val="24"/>
        </w:rPr>
        <w:fldChar w:fldCharType="end"/>
      </w:r>
      <w:r w:rsidRPr="00C73CFA">
        <w:rPr>
          <w:rFonts w:ascii="Arial" w:hAnsi="Arial" w:cs="Arial"/>
          <w:sz w:val="24"/>
          <w:szCs w:val="24"/>
        </w:rPr>
        <w:t xml:space="preserve"> </w:t>
      </w:r>
      <w:bookmarkEnd w:id="2"/>
      <w:r w:rsidRPr="00C73CFA">
        <w:rPr>
          <w:rFonts w:ascii="Arial" w:hAnsi="Arial" w:cs="Arial"/>
          <w:sz w:val="24"/>
          <w:szCs w:val="24"/>
        </w:rPr>
        <w:t xml:space="preserve">by no later than </w:t>
      </w:r>
      <w:r w:rsidR="00C73CFA" w:rsidRPr="00C73CFA">
        <w:rPr>
          <w:rFonts w:ascii="Arial" w:hAnsi="Arial" w:cs="Arial"/>
          <w:b/>
          <w:bCs/>
          <w:sz w:val="24"/>
          <w:szCs w:val="24"/>
        </w:rPr>
        <w:t>30</w:t>
      </w:r>
      <w:r w:rsidR="007048C2" w:rsidRPr="00C73CFA">
        <w:rPr>
          <w:rFonts w:ascii="Arial" w:hAnsi="Arial" w:cs="Arial"/>
          <w:b/>
          <w:bCs/>
          <w:sz w:val="24"/>
          <w:szCs w:val="24"/>
        </w:rPr>
        <w:t xml:space="preserve"> January 2025</w:t>
      </w:r>
      <w:r w:rsidRPr="004C6D2B">
        <w:rPr>
          <w:rFonts w:ascii="Arial" w:hAnsi="Arial" w:cs="Arial"/>
          <w:sz w:val="24"/>
          <w:szCs w:val="24"/>
        </w:rPr>
        <w:t>. For further information please contact the Senior Commissioner’s Associate.</w:t>
      </w:r>
    </w:p>
    <w:bookmarkEnd w:id="1"/>
    <w:p w14:paraId="0B7D910D" w14:textId="77777777" w:rsidR="004C10CA" w:rsidRPr="004C6D2B" w:rsidRDefault="004C10CA" w:rsidP="004C10CA">
      <w:pPr>
        <w:jc w:val="both"/>
        <w:rPr>
          <w:rFonts w:ascii="Arial" w:hAnsi="Arial" w:cs="Arial"/>
          <w:sz w:val="24"/>
          <w:szCs w:val="24"/>
        </w:rPr>
      </w:pPr>
    </w:p>
    <w:p w14:paraId="27768F7E" w14:textId="349B6934" w:rsidR="001947C0" w:rsidRPr="004C6D2B" w:rsidRDefault="001947C0" w:rsidP="004C10CA">
      <w:pPr>
        <w:jc w:val="both"/>
        <w:rPr>
          <w:rFonts w:ascii="Arial" w:hAnsi="Arial" w:cs="Arial"/>
          <w:sz w:val="24"/>
          <w:szCs w:val="24"/>
        </w:rPr>
      </w:pPr>
      <w:r w:rsidRPr="004C6D2B">
        <w:rPr>
          <w:rFonts w:ascii="Arial" w:hAnsi="Arial" w:cs="Arial"/>
          <w:sz w:val="24"/>
          <w:szCs w:val="24"/>
        </w:rPr>
        <w:t xml:space="preserve">S BASTIAN </w:t>
      </w:r>
    </w:p>
    <w:p w14:paraId="6209ADEF" w14:textId="7650F2B6" w:rsidR="001947C0" w:rsidRPr="004C6D2B" w:rsidRDefault="001947C0" w:rsidP="004C10CA">
      <w:pPr>
        <w:jc w:val="both"/>
        <w:rPr>
          <w:rFonts w:ascii="Arial" w:hAnsi="Arial" w:cs="Arial"/>
          <w:sz w:val="24"/>
          <w:szCs w:val="24"/>
        </w:rPr>
      </w:pPr>
      <w:r w:rsidRPr="004C6D2B">
        <w:rPr>
          <w:rFonts w:ascii="Arial" w:hAnsi="Arial" w:cs="Arial"/>
          <w:sz w:val="24"/>
          <w:szCs w:val="24"/>
        </w:rPr>
        <w:t>REGISTRAR</w:t>
      </w:r>
    </w:p>
    <w:p w14:paraId="07CDB940" w14:textId="77777777" w:rsidR="004C10CA" w:rsidRPr="004C6D2B" w:rsidRDefault="004C10CA" w:rsidP="004C10CA">
      <w:pPr>
        <w:jc w:val="both"/>
        <w:rPr>
          <w:rFonts w:ascii="Arial" w:hAnsi="Arial" w:cs="Arial"/>
          <w:sz w:val="24"/>
          <w:szCs w:val="24"/>
        </w:rPr>
      </w:pPr>
    </w:p>
    <w:p w14:paraId="41B24C71" w14:textId="017F7254" w:rsidR="00FE7A9A" w:rsidRPr="004C6D2B" w:rsidRDefault="00FE7A9A" w:rsidP="004C10CA">
      <w:pPr>
        <w:jc w:val="both"/>
        <w:rPr>
          <w:rFonts w:ascii="Arial" w:hAnsi="Arial" w:cs="Arial"/>
          <w:sz w:val="24"/>
          <w:szCs w:val="24"/>
        </w:rPr>
      </w:pPr>
      <w:r w:rsidRPr="004C6D2B">
        <w:rPr>
          <w:rFonts w:ascii="Arial" w:hAnsi="Arial" w:cs="Arial"/>
          <w:sz w:val="24"/>
          <w:szCs w:val="24"/>
        </w:rPr>
        <w:t>7 JANUARY 2025</w:t>
      </w:r>
    </w:p>
    <w:p w14:paraId="7A488485" w14:textId="77777777" w:rsidR="004C10CA" w:rsidRDefault="004C10CA" w:rsidP="004C10CA">
      <w:pPr>
        <w:jc w:val="both"/>
        <w:rPr>
          <w:rFonts w:ascii="Arial Nova" w:hAnsi="Arial Nova"/>
          <w:sz w:val="24"/>
          <w:szCs w:val="24"/>
        </w:rPr>
      </w:pPr>
    </w:p>
    <w:p w14:paraId="3D04CEA1" w14:textId="77777777" w:rsidR="004C10CA" w:rsidRDefault="004C10CA" w:rsidP="004C10CA"/>
    <w:p w14:paraId="2D3154C5" w14:textId="77777777" w:rsidR="008227FE" w:rsidRDefault="008227FE"/>
    <w:sectPr w:rsidR="00822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FBF"/>
    <w:multiLevelType w:val="hybridMultilevel"/>
    <w:tmpl w:val="26EC8922"/>
    <w:lvl w:ilvl="0" w:tplc="930EE77E">
      <w:start w:val="1"/>
      <w:numFmt w:val="lowerLetter"/>
      <w:lvlText w:val="(%1)"/>
      <w:lvlJc w:val="left"/>
      <w:pPr>
        <w:ind w:left="363" w:hanging="360"/>
      </w:p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start w:val="1"/>
      <w:numFmt w:val="decimal"/>
      <w:lvlText w:val="%4."/>
      <w:lvlJc w:val="left"/>
      <w:pPr>
        <w:ind w:left="2523" w:hanging="360"/>
      </w:pPr>
    </w:lvl>
    <w:lvl w:ilvl="4" w:tplc="0C090019">
      <w:start w:val="1"/>
      <w:numFmt w:val="lowerLetter"/>
      <w:lvlText w:val="%5."/>
      <w:lvlJc w:val="left"/>
      <w:pPr>
        <w:ind w:left="3243" w:hanging="360"/>
      </w:pPr>
    </w:lvl>
    <w:lvl w:ilvl="5" w:tplc="0C09001B">
      <w:start w:val="1"/>
      <w:numFmt w:val="lowerRoman"/>
      <w:lvlText w:val="%6."/>
      <w:lvlJc w:val="right"/>
      <w:pPr>
        <w:ind w:left="3963" w:hanging="180"/>
      </w:pPr>
    </w:lvl>
    <w:lvl w:ilvl="6" w:tplc="0C09000F">
      <w:start w:val="1"/>
      <w:numFmt w:val="decimal"/>
      <w:lvlText w:val="%7."/>
      <w:lvlJc w:val="left"/>
      <w:pPr>
        <w:ind w:left="4683" w:hanging="360"/>
      </w:pPr>
    </w:lvl>
    <w:lvl w:ilvl="7" w:tplc="0C090019">
      <w:start w:val="1"/>
      <w:numFmt w:val="lowerLetter"/>
      <w:lvlText w:val="%8."/>
      <w:lvlJc w:val="left"/>
      <w:pPr>
        <w:ind w:left="5403" w:hanging="360"/>
      </w:pPr>
    </w:lvl>
    <w:lvl w:ilvl="8" w:tplc="0C09001B">
      <w:start w:val="1"/>
      <w:numFmt w:val="lowerRoman"/>
      <w:lvlText w:val="%9."/>
      <w:lvlJc w:val="right"/>
      <w:pPr>
        <w:ind w:left="6123" w:hanging="180"/>
      </w:pPr>
    </w:lvl>
  </w:abstractNum>
  <w:abstractNum w:abstractNumId="1" w15:restartNumberingAfterBreak="0">
    <w:nsid w:val="12877756"/>
    <w:multiLevelType w:val="hybridMultilevel"/>
    <w:tmpl w:val="AC68A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AC260E"/>
    <w:multiLevelType w:val="hybridMultilevel"/>
    <w:tmpl w:val="5658C3FE"/>
    <w:lvl w:ilvl="0" w:tplc="1940138C">
      <w:numFmt w:val="bullet"/>
      <w:lvlText w:val="•"/>
      <w:lvlJc w:val="left"/>
      <w:pPr>
        <w:ind w:left="2160" w:hanging="720"/>
      </w:pPr>
      <w:rPr>
        <w:rFonts w:ascii="Arial Nova" w:eastAsia="Times New Roman" w:hAnsi="Arial Nov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9032C27"/>
    <w:multiLevelType w:val="hybridMultilevel"/>
    <w:tmpl w:val="41ACDA06"/>
    <w:lvl w:ilvl="0" w:tplc="0C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C301F0"/>
    <w:multiLevelType w:val="hybridMultilevel"/>
    <w:tmpl w:val="BC163E3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CA5112"/>
    <w:multiLevelType w:val="hybridMultilevel"/>
    <w:tmpl w:val="BFEC7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B160B5"/>
    <w:multiLevelType w:val="hybridMultilevel"/>
    <w:tmpl w:val="26EC8922"/>
    <w:lvl w:ilvl="0" w:tplc="FFFFFFFF">
      <w:start w:val="1"/>
      <w:numFmt w:val="lowerLetter"/>
      <w:lvlText w:val="(%1)"/>
      <w:lvlJc w:val="left"/>
      <w:pPr>
        <w:ind w:left="363" w:hanging="360"/>
      </w:pPr>
    </w:lvl>
    <w:lvl w:ilvl="1" w:tplc="FFFFFFFF">
      <w:start w:val="1"/>
      <w:numFmt w:val="lowerLetter"/>
      <w:lvlText w:val="%2."/>
      <w:lvlJc w:val="left"/>
      <w:pPr>
        <w:ind w:left="1083" w:hanging="360"/>
      </w:pPr>
    </w:lvl>
    <w:lvl w:ilvl="2" w:tplc="FFFFFFFF">
      <w:start w:val="1"/>
      <w:numFmt w:val="lowerRoman"/>
      <w:lvlText w:val="%3."/>
      <w:lvlJc w:val="right"/>
      <w:pPr>
        <w:ind w:left="1803" w:hanging="180"/>
      </w:pPr>
    </w:lvl>
    <w:lvl w:ilvl="3" w:tplc="FFFFFFFF">
      <w:start w:val="1"/>
      <w:numFmt w:val="decimal"/>
      <w:lvlText w:val="%4."/>
      <w:lvlJc w:val="left"/>
      <w:pPr>
        <w:ind w:left="2523" w:hanging="360"/>
      </w:pPr>
    </w:lvl>
    <w:lvl w:ilvl="4" w:tplc="FFFFFFFF">
      <w:start w:val="1"/>
      <w:numFmt w:val="lowerLetter"/>
      <w:lvlText w:val="%5."/>
      <w:lvlJc w:val="left"/>
      <w:pPr>
        <w:ind w:left="3243" w:hanging="360"/>
      </w:pPr>
    </w:lvl>
    <w:lvl w:ilvl="5" w:tplc="FFFFFFFF">
      <w:start w:val="1"/>
      <w:numFmt w:val="lowerRoman"/>
      <w:lvlText w:val="%6."/>
      <w:lvlJc w:val="right"/>
      <w:pPr>
        <w:ind w:left="3963" w:hanging="180"/>
      </w:pPr>
    </w:lvl>
    <w:lvl w:ilvl="6" w:tplc="FFFFFFFF">
      <w:start w:val="1"/>
      <w:numFmt w:val="decimal"/>
      <w:lvlText w:val="%7."/>
      <w:lvlJc w:val="left"/>
      <w:pPr>
        <w:ind w:left="4683" w:hanging="360"/>
      </w:pPr>
    </w:lvl>
    <w:lvl w:ilvl="7" w:tplc="FFFFFFFF">
      <w:start w:val="1"/>
      <w:numFmt w:val="lowerLetter"/>
      <w:lvlText w:val="%8."/>
      <w:lvlJc w:val="left"/>
      <w:pPr>
        <w:ind w:left="5403" w:hanging="360"/>
      </w:pPr>
    </w:lvl>
    <w:lvl w:ilvl="8" w:tplc="FFFFFFFF">
      <w:start w:val="1"/>
      <w:numFmt w:val="lowerRoman"/>
      <w:lvlText w:val="%9."/>
      <w:lvlJc w:val="right"/>
      <w:pPr>
        <w:ind w:left="6123" w:hanging="180"/>
      </w:pPr>
    </w:lvl>
  </w:abstractNum>
  <w:abstractNum w:abstractNumId="7" w15:restartNumberingAfterBreak="0">
    <w:nsid w:val="2E813E82"/>
    <w:multiLevelType w:val="hybridMultilevel"/>
    <w:tmpl w:val="936872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FE232D6"/>
    <w:multiLevelType w:val="hybridMultilevel"/>
    <w:tmpl w:val="1084E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C2641"/>
    <w:multiLevelType w:val="hybridMultilevel"/>
    <w:tmpl w:val="4E42D3B8"/>
    <w:lvl w:ilvl="0" w:tplc="1940138C">
      <w:numFmt w:val="bullet"/>
      <w:lvlText w:val="•"/>
      <w:lvlJc w:val="left"/>
      <w:pPr>
        <w:ind w:left="1440" w:hanging="720"/>
      </w:pPr>
      <w:rPr>
        <w:rFonts w:ascii="Arial Nova" w:eastAsia="Times New Roman" w:hAnsi="Arial Nov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82517A5"/>
    <w:multiLevelType w:val="hybridMultilevel"/>
    <w:tmpl w:val="C756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801257">
    <w:abstractNumId w:val="1"/>
  </w:num>
  <w:num w:numId="2" w16cid:durableId="125312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207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1688745">
    <w:abstractNumId w:val="5"/>
  </w:num>
  <w:num w:numId="5" w16cid:durableId="2025086901">
    <w:abstractNumId w:val="0"/>
  </w:num>
  <w:num w:numId="6" w16cid:durableId="605112966">
    <w:abstractNumId w:val="8"/>
  </w:num>
  <w:num w:numId="7" w16cid:durableId="2026980767">
    <w:abstractNumId w:val="7"/>
  </w:num>
  <w:num w:numId="8" w16cid:durableId="1065375843">
    <w:abstractNumId w:val="9"/>
  </w:num>
  <w:num w:numId="9" w16cid:durableId="2006587116">
    <w:abstractNumId w:val="2"/>
  </w:num>
  <w:num w:numId="10" w16cid:durableId="292978336">
    <w:abstractNumId w:val="3"/>
  </w:num>
  <w:num w:numId="11" w16cid:durableId="1319187725">
    <w:abstractNumId w:val="10"/>
  </w:num>
  <w:num w:numId="12" w16cid:durableId="21970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0szAxNzU0MzYzMTVT0lEKTi0uzszPAykwrgUAB1jqmSwAAAA="/>
  </w:docVars>
  <w:rsids>
    <w:rsidRoot w:val="004C10CA"/>
    <w:rsid w:val="00007C75"/>
    <w:rsid w:val="000574CC"/>
    <w:rsid w:val="00074CEC"/>
    <w:rsid w:val="000A5C6C"/>
    <w:rsid w:val="000B2D5C"/>
    <w:rsid w:val="00105E6D"/>
    <w:rsid w:val="00114933"/>
    <w:rsid w:val="0012421B"/>
    <w:rsid w:val="0018041A"/>
    <w:rsid w:val="001860AA"/>
    <w:rsid w:val="00191DE2"/>
    <w:rsid w:val="001947C0"/>
    <w:rsid w:val="001C2308"/>
    <w:rsid w:val="0023299A"/>
    <w:rsid w:val="00253F42"/>
    <w:rsid w:val="00331A32"/>
    <w:rsid w:val="00381229"/>
    <w:rsid w:val="003A2DC3"/>
    <w:rsid w:val="003B2678"/>
    <w:rsid w:val="003F2A8D"/>
    <w:rsid w:val="00435D03"/>
    <w:rsid w:val="00454696"/>
    <w:rsid w:val="004832D8"/>
    <w:rsid w:val="004C10CA"/>
    <w:rsid w:val="004C2D1B"/>
    <w:rsid w:val="004C38FD"/>
    <w:rsid w:val="004C6D2B"/>
    <w:rsid w:val="004C7EB6"/>
    <w:rsid w:val="005907E4"/>
    <w:rsid w:val="005D42CF"/>
    <w:rsid w:val="005E7CDA"/>
    <w:rsid w:val="00611DAE"/>
    <w:rsid w:val="0062364E"/>
    <w:rsid w:val="0065478E"/>
    <w:rsid w:val="006941CE"/>
    <w:rsid w:val="007048C2"/>
    <w:rsid w:val="007B278A"/>
    <w:rsid w:val="008227FE"/>
    <w:rsid w:val="00824582"/>
    <w:rsid w:val="0082555B"/>
    <w:rsid w:val="00863001"/>
    <w:rsid w:val="008F4F49"/>
    <w:rsid w:val="00912C0F"/>
    <w:rsid w:val="009136D4"/>
    <w:rsid w:val="00946A1D"/>
    <w:rsid w:val="009539AB"/>
    <w:rsid w:val="00987F7B"/>
    <w:rsid w:val="009D50F5"/>
    <w:rsid w:val="00A30308"/>
    <w:rsid w:val="00A4680B"/>
    <w:rsid w:val="00AC25BB"/>
    <w:rsid w:val="00AD0670"/>
    <w:rsid w:val="00AE56B9"/>
    <w:rsid w:val="00B00C64"/>
    <w:rsid w:val="00B16F4F"/>
    <w:rsid w:val="00B23044"/>
    <w:rsid w:val="00B6032B"/>
    <w:rsid w:val="00B60B92"/>
    <w:rsid w:val="00BB650B"/>
    <w:rsid w:val="00BC206A"/>
    <w:rsid w:val="00BF2969"/>
    <w:rsid w:val="00BF4DBF"/>
    <w:rsid w:val="00C22B53"/>
    <w:rsid w:val="00C32B39"/>
    <w:rsid w:val="00C34EEF"/>
    <w:rsid w:val="00C73CFA"/>
    <w:rsid w:val="00C83F5F"/>
    <w:rsid w:val="00CA1F23"/>
    <w:rsid w:val="00CB6639"/>
    <w:rsid w:val="00CE6D7D"/>
    <w:rsid w:val="00D05913"/>
    <w:rsid w:val="00D32BF2"/>
    <w:rsid w:val="00DA7CCB"/>
    <w:rsid w:val="00E27676"/>
    <w:rsid w:val="00EA4CC6"/>
    <w:rsid w:val="00F202ED"/>
    <w:rsid w:val="00F3023F"/>
    <w:rsid w:val="00F54B2D"/>
    <w:rsid w:val="00F6184B"/>
    <w:rsid w:val="00F67862"/>
    <w:rsid w:val="00F7452F"/>
    <w:rsid w:val="00F871C4"/>
    <w:rsid w:val="00FB4C42"/>
    <w:rsid w:val="00FC24C7"/>
    <w:rsid w:val="00FE7A9A"/>
    <w:rsid w:val="00FF6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0DBF"/>
  <w15:chartTrackingRefBased/>
  <w15:docId w15:val="{0BF32D7E-AE09-460F-94F1-49225D9F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C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4C10CA"/>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0CA"/>
    <w:rPr>
      <w:rFonts w:ascii="Times New Roman" w:eastAsia="Times New Roman" w:hAnsi="Times New Roman" w:cs="Times New Roman"/>
      <w:kern w:val="0"/>
      <w:sz w:val="24"/>
      <w:szCs w:val="20"/>
      <w14:ligatures w14:val="none"/>
    </w:rPr>
  </w:style>
  <w:style w:type="character" w:styleId="Hyperlink">
    <w:name w:val="Hyperlink"/>
    <w:basedOn w:val="DefaultParagraphFont"/>
    <w:semiHidden/>
    <w:unhideWhenUsed/>
    <w:rsid w:val="004C10CA"/>
    <w:rPr>
      <w:color w:val="0563C1" w:themeColor="hyperlink"/>
      <w:u w:val="single"/>
    </w:rPr>
  </w:style>
  <w:style w:type="paragraph" w:styleId="ListParagraph">
    <w:name w:val="List Paragraph"/>
    <w:basedOn w:val="Normal"/>
    <w:uiPriority w:val="34"/>
    <w:qFormat/>
    <w:rsid w:val="004C10CA"/>
    <w:pPr>
      <w:ind w:left="720"/>
    </w:pPr>
    <w:rPr>
      <w:rFonts w:ascii="Calibri" w:eastAsia="Calibri" w:hAnsi="Calibri" w:cs="Calibri"/>
      <w:sz w:val="22"/>
      <w:szCs w:val="22"/>
    </w:rPr>
  </w:style>
  <w:style w:type="table" w:styleId="TableGrid">
    <w:name w:val="Table Grid"/>
    <w:basedOn w:val="TableNormal"/>
    <w:uiPriority w:val="39"/>
    <w:rsid w:val="004C10C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3044"/>
    <w:rPr>
      <w:sz w:val="16"/>
      <w:szCs w:val="16"/>
    </w:rPr>
  </w:style>
  <w:style w:type="paragraph" w:styleId="CommentText">
    <w:name w:val="annotation text"/>
    <w:basedOn w:val="Normal"/>
    <w:link w:val="CommentTextChar"/>
    <w:uiPriority w:val="99"/>
    <w:unhideWhenUsed/>
    <w:rsid w:val="00B23044"/>
  </w:style>
  <w:style w:type="character" w:customStyle="1" w:styleId="CommentTextChar">
    <w:name w:val="Comment Text Char"/>
    <w:basedOn w:val="DefaultParagraphFont"/>
    <w:link w:val="CommentText"/>
    <w:uiPriority w:val="99"/>
    <w:rsid w:val="00B2304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23044"/>
    <w:rPr>
      <w:b/>
      <w:bCs/>
    </w:rPr>
  </w:style>
  <w:style w:type="character" w:customStyle="1" w:styleId="CommentSubjectChar">
    <w:name w:val="Comment Subject Char"/>
    <w:basedOn w:val="CommentTextChar"/>
    <w:link w:val="CommentSubject"/>
    <w:uiPriority w:val="99"/>
    <w:semiHidden/>
    <w:rsid w:val="00B23044"/>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DA7CCB"/>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7115">
      <w:bodyDiv w:val="1"/>
      <w:marLeft w:val="0"/>
      <w:marRight w:val="0"/>
      <w:marTop w:val="0"/>
      <w:marBottom w:val="0"/>
      <w:divBdr>
        <w:top w:val="none" w:sz="0" w:space="0" w:color="auto"/>
        <w:left w:val="none" w:sz="0" w:space="0" w:color="auto"/>
        <w:bottom w:val="none" w:sz="0" w:space="0" w:color="auto"/>
        <w:right w:val="none" w:sz="0" w:space="0" w:color="auto"/>
      </w:divBdr>
    </w:div>
    <w:div w:id="909584461">
      <w:bodyDiv w:val="1"/>
      <w:marLeft w:val="0"/>
      <w:marRight w:val="0"/>
      <w:marTop w:val="0"/>
      <w:marBottom w:val="0"/>
      <w:divBdr>
        <w:top w:val="none" w:sz="0" w:space="0" w:color="auto"/>
        <w:left w:val="none" w:sz="0" w:space="0" w:color="auto"/>
        <w:bottom w:val="none" w:sz="0" w:space="0" w:color="auto"/>
        <w:right w:val="none" w:sz="0" w:space="0" w:color="auto"/>
      </w:divBdr>
    </w:div>
    <w:div w:id="1105805002">
      <w:bodyDiv w:val="1"/>
      <w:marLeft w:val="0"/>
      <w:marRight w:val="0"/>
      <w:marTop w:val="0"/>
      <w:marBottom w:val="0"/>
      <w:divBdr>
        <w:top w:val="none" w:sz="0" w:space="0" w:color="auto"/>
        <w:left w:val="none" w:sz="0" w:space="0" w:color="auto"/>
        <w:bottom w:val="none" w:sz="0" w:space="0" w:color="auto"/>
        <w:right w:val="none" w:sz="0" w:space="0" w:color="auto"/>
      </w:divBdr>
    </w:div>
    <w:div w:id="11105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653</Words>
  <Characters>3502</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Commissioner Cosentino</dc:creator>
  <cp:keywords/>
  <dc:description/>
  <cp:lastModifiedBy>Melissa Crosthwaite</cp:lastModifiedBy>
  <cp:revision>15</cp:revision>
  <cp:lastPrinted>2025-01-07T03:49:00Z</cp:lastPrinted>
  <dcterms:created xsi:type="dcterms:W3CDTF">2024-09-03T04:10:00Z</dcterms:created>
  <dcterms:modified xsi:type="dcterms:W3CDTF">2025-02-06T07:11:00Z</dcterms:modified>
</cp:coreProperties>
</file>